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2223" cy="2619375"/>
            <wp:effectExtent l="19050" t="0" r="0" b="0"/>
            <wp:docPr id="1" name="Рисунок 1" descr="https://xn--h1alcedd.xn--d1aqf.xn--p1ai/upload/medialibrary/35b/instruktsiya-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lcedd.xn--d1aqf.xn--p1ai/upload/medialibrary/35b/instruktsiya-1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54" cy="26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Кто имеет право на бесплатные земельные участки?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Семьи с тремя и более детьми (включая неполные семьи) имеют право на получение земельного участка. Но конкретные правила выделения устанавливаются </w:t>
      </w:r>
      <w:hyperlink r:id="rId6" w:tgtFrame="_blank" w:history="1">
        <w:r w:rsidRPr="00EC7A67">
          <w:rPr>
            <w:rFonts w:ascii="Arial" w:eastAsia="Times New Roman" w:hAnsi="Arial" w:cs="Arial"/>
            <w:color w:val="8BC540"/>
            <w:sz w:val="24"/>
            <w:szCs w:val="24"/>
            <w:lang w:eastAsia="ru-RU"/>
          </w:rPr>
          <w:t>региональным законодательством</w:t>
        </w:r>
      </w:hyperlink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и могут отличаться в различных субъектах РФ.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6562725" cy="1068899"/>
            <wp:effectExtent l="19050" t="0" r="0" b="0"/>
            <wp:docPr id="2" name="Рисунок 2" descr="Основны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ы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84" cy="106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К числу основных требований относятся наличие российского гражданства и возраст детей до 18 лет. Но региональные власти могут устанавливать и дополнительные требования, например:</w:t>
      </w:r>
    </w:p>
    <w:p w:rsidR="00EC7A67" w:rsidRPr="00EC7A67" w:rsidRDefault="00EC7A67" w:rsidP="00EC7A67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постоянное проживание на территории региона или муниципального округа;</w:t>
      </w:r>
    </w:p>
    <w:p w:rsidR="00EC7A67" w:rsidRPr="00EC7A67" w:rsidRDefault="00EC7A67" w:rsidP="00EC7A67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официально зарегистрированный брак;</w:t>
      </w:r>
    </w:p>
    <w:p w:rsidR="00EC7A67" w:rsidRPr="00EC7A67" w:rsidRDefault="00EC7A67" w:rsidP="00EC7A67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отсутствие в собственности другого земельного участка или жилого дома.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Какие земельные участки предоставляются многодетным семьям?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Как правило, земельные участки предоставляются в пределах муниципалитета, котором проживает заявитель.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Сами участки могут выдаваться для следующих целей:</w:t>
      </w:r>
    </w:p>
    <w:p w:rsidR="00EC7A67" w:rsidRPr="00EC7A67" w:rsidRDefault="00EC7A67" w:rsidP="00EC7A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Индивидуальное жилищное строительство;</w:t>
      </w:r>
    </w:p>
    <w:p w:rsidR="00EC7A67" w:rsidRPr="00EC7A67" w:rsidRDefault="00EC7A67" w:rsidP="00EC7A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Ведение личного подсобного хозяйства;</w:t>
      </w:r>
    </w:p>
    <w:p w:rsidR="00EC7A67" w:rsidRPr="00EC7A67" w:rsidRDefault="00EC7A67" w:rsidP="00EC7A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Дачное хозяйство;</w:t>
      </w:r>
    </w:p>
    <w:p w:rsidR="00EC7A67" w:rsidRPr="00EC7A67" w:rsidRDefault="00EC7A67" w:rsidP="00EC7A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Садоводство или огородничество.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Норма площади предоставления земельного участка определяется региональным законодательством.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lastRenderedPageBreak/>
        <w:t>Можно ли получить денежную компенсацию вместо земельного участка?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1C1B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15150" cy="1743316"/>
            <wp:effectExtent l="19050" t="0" r="0" b="0"/>
            <wp:docPr id="5" name="Рисунок 5" descr="Получение денежной компенсации вместо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учение денежной компенсации вместо земл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74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Да,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в некоторых регионах предусмотрена возможность получения денежной компенсации вместо земельного участка. В частности, такие программы реализованы в Тюменской и Ростовской областях, Республике Башкортостан и Пермском крае.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Жители Ростовской области могут воспользоваться региональной программой </w:t>
      </w:r>
      <w:hyperlink r:id="rId9" w:tgtFrame="_blank" w:history="1">
        <w:r w:rsidRPr="00EC7A67">
          <w:rPr>
            <w:rFonts w:ascii="Arial" w:eastAsia="Times New Roman" w:hAnsi="Arial" w:cs="Arial"/>
            <w:color w:val="8BC540"/>
            <w:sz w:val="24"/>
            <w:szCs w:val="24"/>
            <w:lang w:eastAsia="ru-RU"/>
          </w:rPr>
          <w:t>«Земельные сертификаты»</w:t>
        </w:r>
      </w:hyperlink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и получить денежную компенсацию на покупку жилой недвижимости.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Как получить земельный участок?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Для того чтобы стать участником программы по предоставлению земельных участков многодетным семьям нужно осуществить следующие действия: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6648450" cy="1413670"/>
            <wp:effectExtent l="0" t="0" r="0" b="0"/>
            <wp:docPr id="7" name="Рисунок 7" descr="Порядок получения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ядок получения участ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1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Шаг 1. Собрать необходимые документы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Перечень необходимых документов устанавливается регионами самостоятельно, однако, как </w:t>
      </w:r>
      <w:proofErr w:type="gramStart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правило</w:t>
      </w:r>
      <w:proofErr w:type="gramEnd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 требуются следующие документы:</w:t>
      </w:r>
    </w:p>
    <w:p w:rsidR="00EC7A67" w:rsidRPr="00EC7A67" w:rsidRDefault="00EC7A67" w:rsidP="00EC7A67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заявление о предоставлении земельного участка (или о постановке на учет);</w:t>
      </w:r>
    </w:p>
    <w:p w:rsidR="00EC7A67" w:rsidRPr="00EC7A67" w:rsidRDefault="00EC7A67" w:rsidP="00EC7A67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копия паспорта;</w:t>
      </w:r>
    </w:p>
    <w:p w:rsidR="00EC7A67" w:rsidRPr="00EC7A67" w:rsidRDefault="00EC7A67" w:rsidP="00EC7A67">
      <w:pPr>
        <w:numPr>
          <w:ilvl w:val="0"/>
          <w:numId w:val="3"/>
        </w:numPr>
        <w:shd w:val="clear" w:color="auto" w:fill="FFFFFF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дополнительно могут понадобиться паспорта и/или свидетельства о рождении детей (а также удостоверение многодетной семьи).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Полный список документов можно уточнить в муниципалитете по месту жительства.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Шаг 2. Подать заявление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о постановке на учет в целях получения бесплатного участка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Подать заявление обычно можно непосредственно в орган</w:t>
      </w:r>
      <w:r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 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по жилищным и земельным вопросам, в </w:t>
      </w:r>
      <w:hyperlink r:id="rId11" w:tgtFrame="_blank" w:history="1">
        <w:r w:rsidRPr="00EC7A67">
          <w:rPr>
            <w:rFonts w:ascii="Arial" w:eastAsia="Times New Roman" w:hAnsi="Arial" w:cs="Arial"/>
            <w:color w:val="8BC540"/>
            <w:sz w:val="24"/>
            <w:szCs w:val="24"/>
            <w:lang w:eastAsia="ru-RU"/>
          </w:rPr>
          <w:t>МФЦ</w:t>
        </w:r>
      </w:hyperlink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 или в электронном виде на портале </w:t>
      </w:r>
      <w:proofErr w:type="spellStart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Госуслуг</w:t>
      </w:r>
      <w:proofErr w:type="spellEnd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lastRenderedPageBreak/>
        <w:t>В некоторых регионах можно выбрать земельный участок из сформированного в начале года Перечня, это также указывается в заявлении.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Шаг 3. Дождаться своей очереди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на выделение земельного участка или выдачи компенсации. Каждого заявителя уведомляют о наступлении его очереди.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Шаг 4. Оформить земельный участок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Как правило, земельный участок предоставляется бесплатно в общую долевую собственность всех членов семьи.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 некоторых регионах может быть предусмотрено оформление земельного участка по договору аренды до окончания строительства жилого дома (например, в Нижегородской области).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Также на заявителя также может быть возложена обязанность осуществить </w:t>
      </w:r>
      <w:hyperlink r:id="rId12" w:tgtFrame="_blank" w:history="1">
        <w:r w:rsidRPr="00EC7A67">
          <w:rPr>
            <w:rFonts w:ascii="Arial" w:eastAsia="Times New Roman" w:hAnsi="Arial" w:cs="Arial"/>
            <w:color w:val="8BC540"/>
            <w:sz w:val="24"/>
            <w:szCs w:val="24"/>
            <w:lang w:eastAsia="ru-RU"/>
          </w:rPr>
          <w:t>государственный кадастровый учет</w:t>
        </w:r>
      </w:hyperlink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земельного участка на основании решения уполномоченного органа.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 xml:space="preserve">Какие сроки предоставления земельных участков </w:t>
      </w:r>
      <w:proofErr w:type="gramStart"/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многодетным</w:t>
      </w:r>
      <w:proofErr w:type="gramEnd"/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?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4914900" cy="1028700"/>
            <wp:effectExtent l="19050" t="0" r="0" b="0"/>
            <wp:docPr id="9" name="Рисунок 9" descr="Срок постановки на уч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рок постановки на уче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Срок постановки на учет в целях получения земельных участков составляет 30 дней. В то же время </w:t>
      </w: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сроки предоставления участков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в собственность никак </w:t>
      </w: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не регламентированы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и зависят от наличия земель в собственности регионов и муниципалитетов, и количества семей, состоящих на учете.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Земельные участки </w:t>
      </w:r>
      <w:proofErr w:type="gramStart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предоставляются в порядк</w:t>
      </w:r>
      <w:r w:rsidR="007700E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е очереди и в некоторых случаях 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ожидание </w:t>
      </w: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может</w:t>
      </w:r>
      <w:proofErr w:type="gramEnd"/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 xml:space="preserve"> составлять несколько лет.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Нужно ли платить налог с полученного земельного участка или компенсации?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1C1B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09678" cy="1152525"/>
            <wp:effectExtent l="19050" t="0" r="0" b="0"/>
            <wp:docPr id="11" name="Рисунок 11" descr="Оплата налогов на уч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лата налогов на участо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12" cy="115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Нет.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Согласно налоговому законодательству земельные участки, полученные из государственной или муниципальной собственности, а также денежные компенсации, полученные взамен таких участков, не облагаются налогом на доходы физических лиц.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Но после оформления участка собственность владельцу будет ежегодно начисляться земельный налог.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0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Осуществляется ли обеспечение инфраструктуры выданных земельных участков?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В некоторых регионах законом также предусмотрено обеспечение транспортной и инженерно-технологической (электричество, тепл</w:t>
      </w:r>
      <w:proofErr w:type="gramStart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о-</w:t>
      </w:r>
      <w:proofErr w:type="gramEnd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 xml:space="preserve">, </w:t>
      </w:r>
      <w:proofErr w:type="spellStart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газо</w:t>
      </w:r>
      <w:proofErr w:type="spellEnd"/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-, водоснабжение) инфраструктуры.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 xml:space="preserve">Можно ли продать земельный участок, полученный бесплатно </w:t>
      </w:r>
      <w:proofErr w:type="gramStart"/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многодетной</w:t>
      </w:r>
      <w:proofErr w:type="gramEnd"/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 xml:space="preserve"> семей?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inherit" w:eastAsia="Times New Roman" w:hAnsi="inherit" w:cs="Arial"/>
          <w:b/>
          <w:bCs/>
          <w:color w:val="1C1B28"/>
          <w:sz w:val="24"/>
          <w:szCs w:val="24"/>
          <w:bdr w:val="none" w:sz="0" w:space="0" w:color="auto" w:frame="1"/>
          <w:lang w:eastAsia="ru-RU"/>
        </w:rPr>
        <w:t>Да,</w:t>
      </w: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 отдельных ограничений на продажу таких земельных участков не установлено. Однако следует учитывать, что при оформлении земельных участков в собственность многодетной семьи каждому члену семьи выделяются равные доли (включая детей), поэтому при продаже недвижимости принадлежащей детям необходимо получать предварительное разрешение органов опеки и попечительства.</w: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6819900" cy="1047750"/>
            <wp:effectExtent l="19050" t="0" r="0" b="0"/>
            <wp:docPr id="14" name="Рисунок 14" descr="Равные доли при оформлении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вные доли при оформлении участ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791" cy="105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C1B28"/>
          <w:sz w:val="24"/>
          <w:szCs w:val="24"/>
          <w:lang w:eastAsia="ru-RU"/>
        </w:rPr>
      </w:pPr>
      <w:r w:rsidRPr="00EC7A67">
        <w:rPr>
          <w:rFonts w:ascii="Arial" w:eastAsia="Times New Roman" w:hAnsi="Arial" w:cs="Arial"/>
          <w:color w:val="1C1B28"/>
          <w:sz w:val="24"/>
          <w:szCs w:val="24"/>
          <w:lang w:eastAsia="ru-RU"/>
        </w:rPr>
        <w:t>Обычно такое разрешение можно получить при улучшении жилищных условий (одновременная покупка равноценного жилья), возможен также перевод денежных средств (в размере доли, положенной ребенку) на его счет в банке.</w:t>
      </w:r>
    </w:p>
    <w:p w:rsidR="00EC7A67" w:rsidRPr="00EC7A67" w:rsidRDefault="00EC7A67" w:rsidP="00EC7A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noshade="t" o:hr="t" fillcolor="#1c1b28" stroked="f"/>
        </w:pict>
      </w:r>
    </w:p>
    <w:p w:rsidR="00EC7A67" w:rsidRPr="00EC7A67" w:rsidRDefault="00EC7A67" w:rsidP="00EC7A6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EC7A67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Какими нормативными правовыми актами регулируется предоставление земельных участков многодетным семьям?</w:t>
      </w:r>
    </w:p>
    <w:p w:rsidR="00EC7A67" w:rsidRPr="00EC7A67" w:rsidRDefault="00EC7A67" w:rsidP="00EC7A67">
      <w:pPr>
        <w:shd w:val="clear" w:color="auto" w:fill="FFFFFF"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</w:pPr>
      <w:r w:rsidRPr="00EC7A6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Прежде всего</w:t>
      </w:r>
      <w:r w:rsidR="007700E7" w:rsidRPr="007700E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,</w:t>
      </w:r>
      <w:r w:rsidRPr="00EC7A6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 xml:space="preserve"> данная сфера регулируется </w:t>
      </w:r>
      <w:hyperlink r:id="rId16" w:tgtFrame="_blank" w:history="1">
        <w:r w:rsidRPr="007700E7">
          <w:rPr>
            <w:rFonts w:ascii="Times New Roman" w:eastAsia="Times New Roman" w:hAnsi="Times New Roman" w:cs="Times New Roman"/>
            <w:color w:val="8BC540"/>
            <w:sz w:val="28"/>
            <w:szCs w:val="28"/>
            <w:lang w:eastAsia="ru-RU"/>
          </w:rPr>
          <w:t>Земельным кодексом</w:t>
        </w:r>
      </w:hyperlink>
      <w:r w:rsidRPr="00EC7A6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 Российской Федерации.</w:t>
      </w:r>
    </w:p>
    <w:p w:rsidR="000549D9" w:rsidRPr="007700E7" w:rsidRDefault="00E86580" w:rsidP="00E86580">
      <w:p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00E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 xml:space="preserve">     </w:t>
      </w:r>
      <w:proofErr w:type="gramStart"/>
      <w:r w:rsidRPr="007700E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 xml:space="preserve">На территории Красноярского сельского поселения Шербакульского муниципального района Омской области </w:t>
      </w:r>
      <w:r w:rsidR="00EC7A67" w:rsidRPr="00EC7A6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 xml:space="preserve">Порядок предоставления земельных участков многодетным семьям устанавливается </w:t>
      </w:r>
      <w:r w:rsidRPr="007700E7">
        <w:rPr>
          <w:rFonts w:ascii="Times New Roman" w:eastAsia="Times New Roman" w:hAnsi="Times New Roman" w:cs="Times New Roman"/>
          <w:color w:val="1C1B28"/>
          <w:sz w:val="28"/>
          <w:szCs w:val="28"/>
          <w:lang w:eastAsia="ru-RU"/>
        </w:rPr>
        <w:t>Административным регламентом</w:t>
      </w:r>
      <w:r w:rsidRPr="007700E7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 </w:t>
      </w:r>
      <w:r w:rsidRPr="007700E7">
        <w:rPr>
          <w:rFonts w:ascii="Times New Roman" w:hAnsi="Times New Roman" w:cs="Times New Roman"/>
          <w:sz w:val="28"/>
          <w:szCs w:val="28"/>
        </w:rPr>
        <w:t>«Постановка на учет граждан, имеющих трех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хозяйства», утвержденного Постановлением Администрации Красноярского сельского поселения</w:t>
      </w:r>
      <w:proofErr w:type="gramEnd"/>
      <w:r w:rsidRPr="007700E7">
        <w:rPr>
          <w:rFonts w:ascii="Times New Roman" w:hAnsi="Times New Roman" w:cs="Times New Roman"/>
          <w:sz w:val="28"/>
          <w:szCs w:val="28"/>
        </w:rPr>
        <w:t xml:space="preserve"> № 20-п от 18.03.2020</w:t>
      </w:r>
      <w:r w:rsidR="007700E7" w:rsidRPr="007700E7">
        <w:rPr>
          <w:rFonts w:ascii="Times New Roman" w:hAnsi="Times New Roman" w:cs="Times New Roman"/>
          <w:sz w:val="28"/>
          <w:szCs w:val="28"/>
        </w:rPr>
        <w:t>г.</w:t>
      </w:r>
    </w:p>
    <w:p w:rsidR="00E86580" w:rsidRPr="007700E7" w:rsidRDefault="00E86580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86580" w:rsidRPr="007700E7" w:rsidSect="007700E7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5F6"/>
    <w:multiLevelType w:val="multilevel"/>
    <w:tmpl w:val="F5E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D23EED"/>
    <w:multiLevelType w:val="multilevel"/>
    <w:tmpl w:val="79A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F728C5"/>
    <w:multiLevelType w:val="multilevel"/>
    <w:tmpl w:val="799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67"/>
    <w:rsid w:val="000549D9"/>
    <w:rsid w:val="00273389"/>
    <w:rsid w:val="00566076"/>
    <w:rsid w:val="00696404"/>
    <w:rsid w:val="007700E7"/>
    <w:rsid w:val="009226BD"/>
    <w:rsid w:val="009309A8"/>
    <w:rsid w:val="00B25165"/>
    <w:rsid w:val="00C472BC"/>
    <w:rsid w:val="00E76381"/>
    <w:rsid w:val="00E86580"/>
    <w:rsid w:val="00EC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D9"/>
  </w:style>
  <w:style w:type="paragraph" w:styleId="2">
    <w:name w:val="heading 2"/>
    <w:basedOn w:val="a"/>
    <w:link w:val="20"/>
    <w:uiPriority w:val="9"/>
    <w:qFormat/>
    <w:rsid w:val="00EC7A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7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A67"/>
    <w:rPr>
      <w:color w:val="0000FF"/>
      <w:u w:val="single"/>
    </w:rPr>
  </w:style>
  <w:style w:type="character" w:customStyle="1" w:styleId="content-note">
    <w:name w:val="content-note"/>
    <w:basedOn w:val="a0"/>
    <w:rsid w:val="00EC7A67"/>
  </w:style>
  <w:style w:type="paragraph" w:styleId="a5">
    <w:name w:val="Balloon Text"/>
    <w:basedOn w:val="a"/>
    <w:link w:val="a6"/>
    <w:uiPriority w:val="99"/>
    <w:semiHidden/>
    <w:unhideWhenUsed/>
    <w:rsid w:val="00EC7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xn--h1alcedd.xn--d1aqf.xn--p1ai/instructions/kadastrovyy-uchet-obektov-nedvizhimos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3773/44cbcea485bb6d538b98347f46ecd240bb370e6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3773/44cbcea485bb6d538b98347f46ecd240bb370e69/" TargetMode="External"/><Relationship Id="rId11" Type="http://schemas.openxmlformats.org/officeDocument/2006/relationships/hyperlink" Target="https://xn--d1achjhdicc8bh4h.xn--p1ai/search/mf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xn--h1alcedd.xn--d1aqf.xn--p1ai/catalog/zemelnye-sertifikaty-dlya-zhiteley-rostovskoy-oblasti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2024-04-19T05:52:00Z</dcterms:created>
  <dcterms:modified xsi:type="dcterms:W3CDTF">2024-04-19T08:48:00Z</dcterms:modified>
</cp:coreProperties>
</file>